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28C8" w14:textId="77777777" w:rsidR="00775990" w:rsidRPr="00CF1F14" w:rsidRDefault="00775990" w:rsidP="007D0CBA">
      <w:pPr>
        <w:pBdr>
          <w:bottom w:val="none" w:sz="0" w:space="5" w:color="000000"/>
        </w:pBdr>
        <w:spacing w:after="0"/>
        <w:jc w:val="center"/>
        <w:rPr>
          <w:b/>
          <w:bCs/>
        </w:rPr>
      </w:pPr>
      <w:r w:rsidRPr="00CF1F14">
        <w:rPr>
          <w:b/>
          <w:bCs/>
        </w:rPr>
        <w:t>RELAZIONE VALUTAZIONE DELLA DIDATTICA</w:t>
      </w:r>
    </w:p>
    <w:p w14:paraId="4EA28CC6" w14:textId="5EEAFD79" w:rsidR="00775990" w:rsidRDefault="00775990" w:rsidP="007D0CBA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  <w:bCs/>
        </w:rPr>
        <w:t xml:space="preserve">CDL </w:t>
      </w:r>
      <w:r w:rsidR="006D642B">
        <w:rPr>
          <w:b/>
          <w:bCs/>
        </w:rPr>
        <w:t xml:space="preserve">MAGISTRALE </w:t>
      </w:r>
      <w:r w:rsidRPr="00CF1F14">
        <w:rPr>
          <w:b/>
          <w:bCs/>
        </w:rPr>
        <w:t>IN</w:t>
      </w:r>
      <w:r w:rsidR="00AD1C9D">
        <w:rPr>
          <w:b/>
          <w:bCs/>
        </w:rPr>
        <w:t xml:space="preserve"> PSICOLOGIA CLINICA E DELLA SALUTE,</w:t>
      </w:r>
      <w:r w:rsidRPr="00CF1F14">
        <w:rPr>
          <w:b/>
          <w:bCs/>
        </w:rPr>
        <w:t xml:space="preserve"> </w:t>
      </w:r>
      <w:r w:rsidRPr="00CF1F14">
        <w:rPr>
          <w:b/>
        </w:rPr>
        <w:t>A.A.</w:t>
      </w:r>
      <w:r w:rsidR="00AD1C9D">
        <w:rPr>
          <w:b/>
        </w:rPr>
        <w:t xml:space="preserve"> </w:t>
      </w:r>
      <w:r w:rsidR="00C62258">
        <w:rPr>
          <w:b/>
        </w:rPr>
        <w:t>2021-22</w:t>
      </w:r>
      <w:r w:rsidRPr="00CF1F14">
        <w:rPr>
          <w:b/>
        </w:rPr>
        <w:t xml:space="preserve"> </w:t>
      </w:r>
    </w:p>
    <w:p w14:paraId="4CFF552E" w14:textId="77777777" w:rsidR="007D0CBA" w:rsidRPr="00CF1F14" w:rsidRDefault="007D0CBA" w:rsidP="007D0CBA">
      <w:pPr>
        <w:pBdr>
          <w:bottom w:val="none" w:sz="0" w:space="5" w:color="000000"/>
        </w:pBdr>
        <w:spacing w:after="0"/>
        <w:jc w:val="center"/>
        <w:rPr>
          <w:b/>
        </w:rPr>
      </w:pPr>
    </w:p>
    <w:p w14:paraId="7A73A9F6" w14:textId="3F48A873" w:rsidR="00775990" w:rsidRDefault="00775990" w:rsidP="007D0CBA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</w:rPr>
        <w:t>(SCHEDA SUA 20</w:t>
      </w:r>
      <w:r w:rsidR="00C62258">
        <w:rPr>
          <w:b/>
        </w:rPr>
        <w:t>22</w:t>
      </w:r>
      <w:r w:rsidRPr="00CF1F14">
        <w:rPr>
          <w:b/>
        </w:rPr>
        <w:t xml:space="preserve"> – QUADRO B6: </w:t>
      </w:r>
      <w:r w:rsidRPr="00E36C0F">
        <w:rPr>
          <w:b/>
        </w:rPr>
        <w:t>OPINIONE STUDENTI</w:t>
      </w:r>
      <w:r>
        <w:rPr>
          <w:b/>
        </w:rPr>
        <w:t>)</w:t>
      </w:r>
    </w:p>
    <w:p w14:paraId="61730F87" w14:textId="1627A063" w:rsidR="00B3691D" w:rsidRDefault="00B3691D" w:rsidP="007D0CBA">
      <w:pPr>
        <w:pBdr>
          <w:bottom w:val="none" w:sz="0" w:space="5" w:color="000000"/>
        </w:pBdr>
        <w:spacing w:after="0"/>
        <w:jc w:val="center"/>
        <w:rPr>
          <w:b/>
        </w:rPr>
      </w:pPr>
    </w:p>
    <w:p w14:paraId="32F945DE" w14:textId="77777777" w:rsidR="00B3691D" w:rsidRPr="00104616" w:rsidRDefault="00B3691D" w:rsidP="00B3691D">
      <w:pPr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>Per l'</w:t>
      </w:r>
      <w:proofErr w:type="spellStart"/>
      <w:r w:rsidRPr="00104616">
        <w:rPr>
          <w:rFonts w:ascii="Calibri" w:hAnsi="Calibri" w:cs="Calibri"/>
        </w:rPr>
        <w:t>a.a</w:t>
      </w:r>
      <w:proofErr w:type="spellEnd"/>
      <w:r w:rsidRPr="00104616">
        <w:rPr>
          <w:rFonts w:ascii="Calibri" w:hAnsi="Calibri" w:cs="Calibri"/>
        </w:rPr>
        <w:t>. 2021-22 il periodo di osservazione va dal mese di novembre 2021 al mese di luglio 2022: i dati analizzati non possono essere considerati esaustivi, in quanto sono esclusi gli appelli del mese di settembre.</w:t>
      </w:r>
    </w:p>
    <w:p w14:paraId="1FFA2FCA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I risultati sono relativi agli studenti che hanno dichiarato di aver frequentato i corsi nei due semestri dell’</w:t>
      </w:r>
      <w:proofErr w:type="spellStart"/>
      <w:r w:rsidRPr="00104616">
        <w:rPr>
          <w:rFonts w:cstheme="minorHAnsi"/>
        </w:rPr>
        <w:t>a.a</w:t>
      </w:r>
      <w:proofErr w:type="spellEnd"/>
      <w:r w:rsidRPr="00104616">
        <w:rPr>
          <w:rFonts w:cstheme="minorHAnsi"/>
        </w:rPr>
        <w:t>. 2021/2022 (gruppo A) e agli studenti che hanno frequentato nell’</w:t>
      </w:r>
      <w:proofErr w:type="spellStart"/>
      <w:r w:rsidRPr="00104616">
        <w:rPr>
          <w:rFonts w:cstheme="minorHAnsi"/>
        </w:rPr>
        <w:t>a.a</w:t>
      </w:r>
      <w:proofErr w:type="spellEnd"/>
      <w:r w:rsidRPr="00104616">
        <w:rPr>
          <w:rFonts w:cstheme="minorHAnsi"/>
        </w:rPr>
        <w:t xml:space="preserve">. 2020/2021 o negli anni precedenti con lo stesso docente (gruppo B). </w:t>
      </w:r>
    </w:p>
    <w:p w14:paraId="5C081F90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Per una lettura più rapida i valori riportati di seguito sono riferiti al gruppo A, mentre i valori del gruppo B sono indicati in parentesi.</w:t>
      </w:r>
    </w:p>
    <w:p w14:paraId="3EAFC695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Il numero di questionari raccolti è pari a 927 (84).</w:t>
      </w:r>
    </w:p>
    <w:p w14:paraId="786211D9" w14:textId="77777777" w:rsidR="00B3691D" w:rsidRPr="00104616" w:rsidRDefault="00B3691D" w:rsidP="00B3691D">
      <w:pPr>
        <w:jc w:val="both"/>
        <w:rPr>
          <w:rFonts w:ascii="Calibri" w:hAnsi="Calibri" w:cs="Calibri"/>
          <w:b/>
        </w:rPr>
      </w:pPr>
      <w:r w:rsidRPr="00104616">
        <w:rPr>
          <w:rFonts w:ascii="Calibri" w:hAnsi="Calibri" w:cs="Calibri"/>
          <w:b/>
        </w:rPr>
        <w:t>Legenda valutazioni:</w:t>
      </w:r>
    </w:p>
    <w:p w14:paraId="6553BC39" w14:textId="77777777" w:rsidR="00B3691D" w:rsidRPr="00104616" w:rsidRDefault="00B3691D" w:rsidP="00B3691D">
      <w:pPr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 xml:space="preserve">I giudizi relativi alle singole domande vanno da un minimo di 1 (giudizio totalmente negativo) ad un massimo di 4 (giudizio totalmente positivo) e i valori intermedi corrispondono a un giudizio più negativo che positivo (2) o ad un giudizio più positivo che negativo (3). </w:t>
      </w:r>
    </w:p>
    <w:p w14:paraId="5868C36D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Per la valutazione della frequenza alle lezioni (</w:t>
      </w:r>
      <w:r w:rsidRPr="00104616">
        <w:rPr>
          <w:rFonts w:cstheme="minorHAnsi"/>
          <w:b/>
        </w:rPr>
        <w:t>BP</w:t>
      </w:r>
      <w:r w:rsidRPr="00104616">
        <w:rPr>
          <w:rFonts w:cstheme="minorHAnsi"/>
        </w:rPr>
        <w:t>),</w:t>
      </w:r>
      <w:r w:rsidRPr="00104616">
        <w:rPr>
          <w:rFonts w:cstheme="minorHAnsi"/>
          <w:b/>
        </w:rPr>
        <w:t xml:space="preserve"> </w:t>
      </w:r>
      <w:r w:rsidRPr="00104616">
        <w:rPr>
          <w:rFonts w:cstheme="minorHAnsi"/>
        </w:rPr>
        <w:t>il valore 1 indica una frequenza minore del 25%, il valore 2 una frequenza minore del 50%, il valore 3 una frequenza maggiore del 50% e il 4 una frequenza completa.</w:t>
      </w:r>
    </w:p>
    <w:p w14:paraId="461E1BF1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La scala di valutazione del carico di studio (</w:t>
      </w:r>
      <w:r w:rsidRPr="00104616">
        <w:rPr>
          <w:rFonts w:cstheme="minorHAnsi"/>
          <w:b/>
        </w:rPr>
        <w:t>B2</w:t>
      </w:r>
      <w:r w:rsidRPr="00104616">
        <w:rPr>
          <w:rFonts w:cstheme="minorHAnsi"/>
        </w:rPr>
        <w:t>) è stata riformulata e uniformata a quella degli altri quesiti.</w:t>
      </w:r>
    </w:p>
    <w:p w14:paraId="0C22C33F" w14:textId="77777777" w:rsidR="00B3691D" w:rsidRPr="00104616" w:rsidRDefault="00B3691D" w:rsidP="00B3691D">
      <w:pPr>
        <w:jc w:val="both"/>
        <w:rPr>
          <w:rFonts w:cstheme="minorHAnsi"/>
          <w:b/>
        </w:rPr>
      </w:pPr>
      <w:bookmarkStart w:id="0" w:name="_Hlk113295220"/>
      <w:r w:rsidRPr="00104616">
        <w:rPr>
          <w:rFonts w:cstheme="minorHAnsi"/>
          <w:b/>
        </w:rPr>
        <w:t xml:space="preserve">VALUTAZIONE DEL CORSO DI STUDIO </w:t>
      </w:r>
    </w:p>
    <w:p w14:paraId="2CA9016F" w14:textId="77777777" w:rsidR="00B3691D" w:rsidRPr="00104616" w:rsidRDefault="00B3691D" w:rsidP="00B3691D">
      <w:pPr>
        <w:jc w:val="both"/>
        <w:rPr>
          <w:rFonts w:cstheme="minorHAnsi"/>
          <w:b/>
        </w:rPr>
      </w:pPr>
      <w:r w:rsidRPr="00104616">
        <w:rPr>
          <w:rFonts w:cstheme="minorHAnsi"/>
        </w:rPr>
        <w:t>VALUTAZIONE COMPLESSIVA INSEGNAMENTI</w:t>
      </w:r>
    </w:p>
    <w:p w14:paraId="6AA8C5FB" w14:textId="77777777" w:rsidR="00B3691D" w:rsidRPr="00104616" w:rsidRDefault="00B3691D" w:rsidP="00B3691D">
      <w:pPr>
        <w:jc w:val="both"/>
        <w:rPr>
          <w:rFonts w:cstheme="minorHAnsi"/>
        </w:rPr>
      </w:pPr>
      <w:bookmarkStart w:id="1" w:name="_Hlk53756848"/>
      <w:r w:rsidRPr="00104616">
        <w:rPr>
          <w:rFonts w:cstheme="minorHAnsi"/>
        </w:rPr>
        <w:t>La valutazione complessiva degli insegnamenti del Corso di Studio</w:t>
      </w:r>
      <w:r w:rsidRPr="00104616">
        <w:rPr>
          <w:rFonts w:cstheme="minorHAnsi"/>
          <w:b/>
        </w:rPr>
        <w:t xml:space="preserve"> </w:t>
      </w:r>
      <w:r w:rsidRPr="00104616">
        <w:rPr>
          <w:rFonts w:cstheme="minorHAnsi"/>
        </w:rPr>
        <w:t xml:space="preserve">risulta positiva ed è pari a 3.4 (3.1). Sia per il gruppo A sia per il gruppo B tutti gli aspetti didattici valutati hanno ottenuto valori medi uguali o superiori a 3. </w:t>
      </w:r>
    </w:p>
    <w:p w14:paraId="67C01309" w14:textId="77777777" w:rsidR="00B3691D" w:rsidRPr="00104616" w:rsidRDefault="00B3691D" w:rsidP="00B3691D">
      <w:pPr>
        <w:jc w:val="both"/>
        <w:rPr>
          <w:rFonts w:cstheme="minorHAnsi"/>
        </w:rPr>
      </w:pPr>
      <w:bookmarkStart w:id="2" w:name="_Hlk82013379"/>
      <w:r w:rsidRPr="00104616">
        <w:rPr>
          <w:rFonts w:cstheme="minorHAnsi"/>
        </w:rPr>
        <w:t xml:space="preserve">Il </w:t>
      </w:r>
      <w:proofErr w:type="spellStart"/>
      <w:r w:rsidRPr="00104616">
        <w:rPr>
          <w:rFonts w:cstheme="minorHAnsi"/>
          <w:i/>
        </w:rPr>
        <w:t>range</w:t>
      </w:r>
      <w:proofErr w:type="spellEnd"/>
      <w:r w:rsidRPr="00104616">
        <w:rPr>
          <w:rFonts w:cstheme="minorHAnsi"/>
        </w:rPr>
        <w:t xml:space="preserve"> dei valori medi nel gruppo A spazia dal valore minimo di 3.2 per l’adeguatezza delle conoscenze preliminari (</w:t>
      </w:r>
      <w:r w:rsidRPr="00104616">
        <w:rPr>
          <w:rFonts w:cstheme="minorHAnsi"/>
          <w:b/>
        </w:rPr>
        <w:t>B1</w:t>
      </w:r>
      <w:r w:rsidRPr="00104616">
        <w:rPr>
          <w:rFonts w:cstheme="minorHAnsi"/>
        </w:rPr>
        <w:t>)</w:t>
      </w:r>
      <w:bookmarkEnd w:id="2"/>
      <w:r w:rsidRPr="00104616">
        <w:rPr>
          <w:rFonts w:cstheme="minorHAnsi"/>
        </w:rPr>
        <w:t xml:space="preserve"> e per il carico di studio proporzionato ai crediti assegnati (</w:t>
      </w:r>
      <w:r w:rsidRPr="00104616">
        <w:rPr>
          <w:rFonts w:cstheme="minorHAnsi"/>
          <w:b/>
          <w:bCs/>
        </w:rPr>
        <w:t>B2</w:t>
      </w:r>
      <w:r w:rsidRPr="00104616">
        <w:rPr>
          <w:rFonts w:cstheme="minorHAnsi"/>
        </w:rPr>
        <w:t>) al valore massimo di 3.6 per l’adeguatezza delle aule fisiche (</w:t>
      </w:r>
      <w:r w:rsidRPr="00104616">
        <w:rPr>
          <w:rFonts w:cstheme="minorHAnsi"/>
          <w:b/>
        </w:rPr>
        <w:t>B5_AF</w:t>
      </w:r>
      <w:r w:rsidRPr="00104616">
        <w:rPr>
          <w:rFonts w:cstheme="minorHAnsi"/>
        </w:rPr>
        <w:t>), per la loro reperibilità per chiarimenti e spiegazioni (</w:t>
      </w:r>
      <w:r w:rsidRPr="00104616">
        <w:rPr>
          <w:rFonts w:cstheme="minorHAnsi"/>
          <w:b/>
        </w:rPr>
        <w:t>B10</w:t>
      </w:r>
      <w:r w:rsidRPr="00104616">
        <w:rPr>
          <w:rFonts w:cstheme="minorHAnsi"/>
        </w:rPr>
        <w:t>), per l’adeguatezza delle aule virtuali (</w:t>
      </w:r>
      <w:r w:rsidRPr="00104616">
        <w:rPr>
          <w:rFonts w:cstheme="minorHAnsi"/>
          <w:b/>
        </w:rPr>
        <w:t>B5_AV</w:t>
      </w:r>
      <w:r w:rsidRPr="00104616">
        <w:rPr>
          <w:rFonts w:cstheme="minorHAnsi"/>
        </w:rPr>
        <w:t>) comprensiva della buona interazione col docente e per il rispetto delle differenze e delle pari opportunità (</w:t>
      </w:r>
      <w:r w:rsidRPr="00104616">
        <w:rPr>
          <w:rFonts w:cstheme="minorHAnsi"/>
          <w:b/>
          <w:bCs/>
        </w:rPr>
        <w:t>F2</w:t>
      </w:r>
      <w:r w:rsidRPr="00104616">
        <w:rPr>
          <w:rFonts w:cstheme="minorHAnsi"/>
        </w:rPr>
        <w:t xml:space="preserve">). </w:t>
      </w:r>
    </w:p>
    <w:p w14:paraId="4EA72CD7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Per il gruppo B il </w:t>
      </w:r>
      <w:proofErr w:type="spellStart"/>
      <w:r w:rsidRPr="00104616">
        <w:rPr>
          <w:rFonts w:cstheme="minorHAnsi"/>
          <w:i/>
        </w:rPr>
        <w:t>range</w:t>
      </w:r>
      <w:proofErr w:type="spellEnd"/>
      <w:r w:rsidRPr="00104616">
        <w:rPr>
          <w:rFonts w:cstheme="minorHAnsi"/>
        </w:rPr>
        <w:t xml:space="preserve"> va da un valore medio minimo di 3 per i quesiti relativi alle conoscenze preliminari (</w:t>
      </w:r>
      <w:r w:rsidRPr="00104616">
        <w:rPr>
          <w:rFonts w:cstheme="minorHAnsi"/>
          <w:b/>
        </w:rPr>
        <w:t>B1</w:t>
      </w:r>
      <w:r w:rsidRPr="00104616">
        <w:rPr>
          <w:rFonts w:cstheme="minorHAnsi"/>
        </w:rPr>
        <w:t>) ad un valore massimo di 3.6 per la valutazione delle attività didattiche integrative (laboratori, tutorati, esercitazioni) (</w:t>
      </w:r>
      <w:r w:rsidRPr="00104616">
        <w:rPr>
          <w:rFonts w:cstheme="minorHAnsi"/>
          <w:b/>
        </w:rPr>
        <w:t>B8</w:t>
      </w:r>
      <w:r w:rsidRPr="00104616">
        <w:rPr>
          <w:rFonts w:cstheme="minorHAnsi"/>
        </w:rPr>
        <w:t xml:space="preserve">). </w:t>
      </w:r>
    </w:p>
    <w:p w14:paraId="7E701582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Tali valori escludono la valutazione della domanda sul carico di studio (</w:t>
      </w:r>
      <w:r w:rsidRPr="00104616">
        <w:rPr>
          <w:rFonts w:cstheme="minorHAnsi"/>
          <w:b/>
        </w:rPr>
        <w:t>B2</w:t>
      </w:r>
      <w:r w:rsidRPr="00104616">
        <w:rPr>
          <w:rFonts w:cstheme="minorHAnsi"/>
        </w:rPr>
        <w:t>) per la quale si rinvia alla</w:t>
      </w:r>
      <w:r w:rsidRPr="00104616">
        <w:rPr>
          <w:rFonts w:ascii="Calibri" w:hAnsi="Calibri" w:cs="Calibri"/>
        </w:rPr>
        <w:t xml:space="preserve"> valutazione delle frequenze di risposta. </w:t>
      </w:r>
    </w:p>
    <w:bookmarkEnd w:id="1"/>
    <w:p w14:paraId="2CF62187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L’analisi dei dati delle valutazioni in rapporto alle percentuali di frequenza per il gruppo A indica che tutti gli aspetti valutati mediante il questionario sono stati valutati positivamente (punteggio 3 o 4) da almeno l’80% </w:t>
      </w:r>
      <w:r w:rsidRPr="00104616">
        <w:rPr>
          <w:rFonts w:cstheme="minorHAnsi"/>
        </w:rPr>
        <w:lastRenderedPageBreak/>
        <w:t xml:space="preserve">degli studenti, e, per alcuni quesiti, da percentuali anche superiori al 90. </w:t>
      </w:r>
      <w:r w:rsidRPr="00104616">
        <w:rPr>
          <w:rFonts w:ascii="Calibri" w:hAnsi="Calibri" w:cs="Calibri"/>
        </w:rPr>
        <w:t xml:space="preserve">Fra gli aspetti particolarmente positivi (&gt;90%) si rilevano </w:t>
      </w:r>
      <w:r w:rsidRPr="00104616">
        <w:rPr>
          <w:rFonts w:cstheme="minorHAnsi"/>
        </w:rPr>
        <w:t>il rispetto degli orari (</w:t>
      </w:r>
      <w:r w:rsidRPr="00104616">
        <w:rPr>
          <w:rFonts w:cstheme="minorHAnsi"/>
          <w:b/>
        </w:rPr>
        <w:t>B5</w:t>
      </w:r>
      <w:r w:rsidRPr="00104616">
        <w:rPr>
          <w:rFonts w:cstheme="minorHAnsi"/>
        </w:rPr>
        <w:t>), la capacità del docente di stimolare e/o motivare gli studenti (</w:t>
      </w:r>
      <w:r w:rsidRPr="00104616">
        <w:rPr>
          <w:rFonts w:cstheme="minorHAnsi"/>
          <w:b/>
          <w:bCs/>
        </w:rPr>
        <w:t>B6</w:t>
      </w:r>
      <w:r w:rsidRPr="00104616">
        <w:rPr>
          <w:rFonts w:cstheme="minorHAnsi"/>
        </w:rPr>
        <w:t>), la chiarezza espositiva dei docenti (</w:t>
      </w:r>
      <w:r w:rsidRPr="00104616">
        <w:rPr>
          <w:rFonts w:cstheme="minorHAnsi"/>
          <w:b/>
          <w:bCs/>
        </w:rPr>
        <w:t>B7</w:t>
      </w:r>
      <w:r w:rsidRPr="00104616">
        <w:rPr>
          <w:rFonts w:cstheme="minorHAnsi"/>
        </w:rPr>
        <w:t>), l’utilità delle attività didattiche integrative (</w:t>
      </w:r>
      <w:r w:rsidRPr="00104616">
        <w:rPr>
          <w:rFonts w:cstheme="minorHAnsi"/>
          <w:b/>
          <w:bCs/>
        </w:rPr>
        <w:t>B10</w:t>
      </w:r>
      <w:r w:rsidRPr="00104616">
        <w:rPr>
          <w:rFonts w:cstheme="minorHAnsi"/>
        </w:rPr>
        <w:t>), la coerenza fra i programmi d’esame e quanto di fatto svolto (</w:t>
      </w:r>
      <w:r w:rsidRPr="00104616">
        <w:rPr>
          <w:rFonts w:cstheme="minorHAnsi"/>
          <w:b/>
        </w:rPr>
        <w:t>B9</w:t>
      </w:r>
      <w:r w:rsidRPr="00104616">
        <w:rPr>
          <w:rFonts w:cstheme="minorHAnsi"/>
        </w:rPr>
        <w:t>), l’adeguatezza delle aule sia fisiche sia virtuali (</w:t>
      </w:r>
      <w:r w:rsidRPr="00104616">
        <w:rPr>
          <w:rFonts w:cstheme="minorHAnsi"/>
          <w:b/>
        </w:rPr>
        <w:t>B5_AV e B5_AV</w:t>
      </w:r>
      <w:r w:rsidRPr="00104616">
        <w:rPr>
          <w:rFonts w:cstheme="minorHAnsi"/>
        </w:rPr>
        <w:t>), l’interazione formativa per il percorso accademico con il docente (</w:t>
      </w:r>
      <w:r w:rsidRPr="00104616">
        <w:rPr>
          <w:rFonts w:cstheme="minorHAnsi"/>
          <w:b/>
          <w:bCs/>
        </w:rPr>
        <w:t>F1</w:t>
      </w:r>
      <w:r w:rsidRPr="00104616">
        <w:rPr>
          <w:rFonts w:cstheme="minorHAnsi"/>
        </w:rPr>
        <w:t>) e il rispetto del docente per le pari opportunità (</w:t>
      </w:r>
      <w:r w:rsidRPr="00104616">
        <w:rPr>
          <w:rFonts w:cstheme="minorHAnsi"/>
          <w:b/>
          <w:bCs/>
        </w:rPr>
        <w:t>F2</w:t>
      </w:r>
      <w:r w:rsidRPr="00104616">
        <w:rPr>
          <w:rFonts w:cstheme="minorHAnsi"/>
        </w:rPr>
        <w:t xml:space="preserve">). </w:t>
      </w:r>
      <w:bookmarkStart w:id="3" w:name="_Hlk82013366"/>
      <w:r w:rsidRPr="00104616">
        <w:rPr>
          <w:rFonts w:ascii="Calibri" w:hAnsi="Calibri" w:cs="Calibri"/>
        </w:rPr>
        <w:t>Fra gli aspetti particolarmente negativi (punteggio 2 o 1 per più del 15% dei rispondenti) si segnalano la non adeguatezza del carico di studio (</w:t>
      </w:r>
      <w:r w:rsidRPr="00104616">
        <w:rPr>
          <w:rFonts w:ascii="Calibri" w:hAnsi="Calibri" w:cs="Calibri"/>
          <w:b/>
        </w:rPr>
        <w:t>B2</w:t>
      </w:r>
      <w:r w:rsidRPr="00104616">
        <w:rPr>
          <w:rFonts w:ascii="Calibri" w:hAnsi="Calibri" w:cs="Calibri"/>
        </w:rPr>
        <w:t>).</w:t>
      </w:r>
      <w:r w:rsidRPr="00104616">
        <w:rPr>
          <w:rFonts w:cstheme="minorHAnsi"/>
        </w:rPr>
        <w:t xml:space="preserve"> </w:t>
      </w:r>
    </w:p>
    <w:bookmarkEnd w:id="3"/>
    <w:p w14:paraId="7970F0E9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Tra i suggerimenti proposti dagli studenti per il miglioramento della didattica si segnalano la richiesta di </w:t>
      </w:r>
      <w:r w:rsidRPr="00104616">
        <w:rPr>
          <w:rFonts w:cstheme="minorHAnsi"/>
          <w:b/>
          <w:bCs/>
        </w:rPr>
        <w:t>alleggerire il carico didattico</w:t>
      </w:r>
      <w:r w:rsidRPr="00104616">
        <w:rPr>
          <w:rFonts w:cstheme="minorHAnsi"/>
        </w:rPr>
        <w:t xml:space="preserve"> complessivo, di inserire</w:t>
      </w:r>
      <w:r w:rsidRPr="00104616">
        <w:rPr>
          <w:rFonts w:cstheme="minorHAnsi"/>
          <w:b/>
          <w:bCs/>
        </w:rPr>
        <w:t xml:space="preserve"> prove di esame</w:t>
      </w:r>
      <w:r w:rsidRPr="00104616">
        <w:rPr>
          <w:rFonts w:cstheme="minorHAnsi"/>
        </w:rPr>
        <w:t xml:space="preserve"> intermedie, eliminare argomenti già trattati da altri insegnamenti, di fornire in anticipo il materiale didattico e di migliorare la qualità dello stesso.</w:t>
      </w:r>
    </w:p>
    <w:p w14:paraId="7CD715AC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</w:p>
    <w:p w14:paraId="62677193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VALUTAZIONE SINGOLI INSEGNAMENTI</w:t>
      </w:r>
    </w:p>
    <w:p w14:paraId="357D0B9D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  <w:r w:rsidRPr="00104616">
        <w:rPr>
          <w:rFonts w:cstheme="minorHAnsi"/>
        </w:rPr>
        <w:t xml:space="preserve">La valutazione espressa dagli studenti sui singoli insegnamenti è complessivamente positiva, attestandosi sul valore medio di 3.4 (3.1). Sui 24 moduli valutati dagli studenti del gruppo A, 19 ottengono una valutazione complessiva pari o superiore a 3, in alcuni casi con valutazione eccellenti (3.7 – 3.9), mentre solo 5 </w:t>
      </w:r>
      <w:proofErr w:type="gramStart"/>
      <w:r w:rsidRPr="00104616">
        <w:rPr>
          <w:rFonts w:cstheme="minorHAnsi"/>
        </w:rPr>
        <w:t>moduli  ottengono</w:t>
      </w:r>
      <w:proofErr w:type="gramEnd"/>
      <w:r w:rsidRPr="00104616">
        <w:rPr>
          <w:rFonts w:cstheme="minorHAnsi"/>
        </w:rPr>
        <w:t xml:space="preserve"> una valutazione nella fascia 2.6-2.9. </w:t>
      </w:r>
    </w:p>
    <w:p w14:paraId="19335F81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  <w:r w:rsidRPr="00104616">
        <w:rPr>
          <w:rFonts w:cstheme="minorHAnsi"/>
        </w:rPr>
        <w:t>Gli aspetti con un giudizio intermedio più basso l’adeguatezza delle conoscenze preliminari (</w:t>
      </w:r>
      <w:r w:rsidRPr="00104616">
        <w:rPr>
          <w:rFonts w:cstheme="minorHAnsi"/>
          <w:b/>
        </w:rPr>
        <w:t>B1</w:t>
      </w:r>
      <w:r w:rsidRPr="00104616">
        <w:rPr>
          <w:rFonts w:cstheme="minorHAnsi"/>
        </w:rPr>
        <w:t>).</w:t>
      </w:r>
    </w:p>
    <w:p w14:paraId="62E386B1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Le valutazioni dei 9 moduli valutati dagli studenti del gruppo B si collocano tutte nella fascia 2.5-3.6.</w:t>
      </w:r>
    </w:p>
    <w:p w14:paraId="4DB3224C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</w:p>
    <w:p w14:paraId="6C3789F5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VALUTAZIONE ORGANIZZAZIONE/ SERVIZI </w:t>
      </w:r>
    </w:p>
    <w:p w14:paraId="29B47FBB" w14:textId="77777777" w:rsidR="00B3691D" w:rsidRPr="00104616" w:rsidRDefault="00B3691D" w:rsidP="00B3691D">
      <w:pPr>
        <w:spacing w:after="0" w:line="257" w:lineRule="auto"/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 xml:space="preserve">Il periodo di osservazione per tali aspetti è limitato ai mesi di maggio-luglio 2022. </w:t>
      </w:r>
    </w:p>
    <w:p w14:paraId="0C94E900" w14:textId="77777777" w:rsidR="00B3691D" w:rsidRPr="00104616" w:rsidRDefault="00B3691D" w:rsidP="00B3691D">
      <w:pPr>
        <w:spacing w:after="0" w:line="257" w:lineRule="auto"/>
        <w:jc w:val="both"/>
        <w:rPr>
          <w:rFonts w:ascii="Calibri" w:hAnsi="Calibri" w:cs="Calibri"/>
        </w:rPr>
      </w:pPr>
    </w:p>
    <w:p w14:paraId="47BB6417" w14:textId="77777777" w:rsidR="00B3691D" w:rsidRPr="00104616" w:rsidRDefault="00B3691D" w:rsidP="00B3691D">
      <w:pPr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 xml:space="preserve">Si segnala che, a differenza del report dell’anno precedente, in cui i rispondenti erano suddivisi in due gruppi, UM (studenti che hanno dichiarato di aver utilizzato più di una struttura - aule lezioni, laboratori, biblioteche, sale studio) e UP (studenti che ne hanno utilizzato almeno una), nel report in esame - in forza dei cambiamenti organizzativi, di erogazione della didattica e conseguente presenza degli studenti nelle strutture dell’ateneo - tutti i rispondenti sono stati considerati nello stesso gruppo (UM). </w:t>
      </w:r>
    </w:p>
    <w:p w14:paraId="7AFB9DF2" w14:textId="77777777" w:rsidR="00B3691D" w:rsidRPr="00104616" w:rsidRDefault="00B3691D" w:rsidP="00B3691D">
      <w:pPr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>Si segnala altresì l’integrazione del questionario con l’inserimento di 3 quesiti specifici relativi alla DAD.</w:t>
      </w:r>
    </w:p>
    <w:p w14:paraId="21E733B8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3DB7D56A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Il numero dei questionari raccolti è pari a 119.</w:t>
      </w:r>
    </w:p>
    <w:p w14:paraId="5083067E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Il giudizio complessivo sulla qualità organizzativa del Corso di Studio (tenuto anche conto della modalità di erogazione della didattica a distanza) è positivo e si attesta su una media pari a 2.9 (</w:t>
      </w:r>
      <w:r w:rsidRPr="00104616">
        <w:rPr>
          <w:rFonts w:cstheme="minorHAnsi"/>
          <w:b/>
        </w:rPr>
        <w:t>S12</w:t>
      </w:r>
      <w:r w:rsidRPr="00104616">
        <w:rPr>
          <w:rFonts w:cstheme="minorHAnsi"/>
        </w:rPr>
        <w:t xml:space="preserve">). </w:t>
      </w:r>
    </w:p>
    <w:p w14:paraId="4D9CF873" w14:textId="77777777" w:rsidR="00B3691D" w:rsidRPr="00104616" w:rsidRDefault="00B3691D" w:rsidP="00B3691D">
      <w:pPr>
        <w:jc w:val="both"/>
        <w:rPr>
          <w:rFonts w:cstheme="minorHAnsi"/>
        </w:rPr>
      </w:pPr>
      <w:bookmarkStart w:id="4" w:name="_Hlk82013351"/>
      <w:r w:rsidRPr="00104616">
        <w:rPr>
          <w:rFonts w:cstheme="minorHAnsi"/>
        </w:rPr>
        <w:t>L’aspetto organizzativo che ottiene una valutazione inferiore a 3 è quello relativo al quesito sulla complessiva sostenibilità del carico di studio personale (</w:t>
      </w:r>
      <w:r w:rsidRPr="00104616">
        <w:rPr>
          <w:rFonts w:cstheme="minorHAnsi"/>
          <w:b/>
        </w:rPr>
        <w:t>S1</w:t>
      </w:r>
      <w:r w:rsidRPr="00104616">
        <w:rPr>
          <w:rFonts w:cstheme="minorHAnsi"/>
        </w:rPr>
        <w:t>) che riceve 2.8.</w:t>
      </w:r>
    </w:p>
    <w:bookmarkEnd w:id="4"/>
    <w:p w14:paraId="19F4241A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Il </w:t>
      </w:r>
      <w:proofErr w:type="spellStart"/>
      <w:r w:rsidRPr="00104616">
        <w:rPr>
          <w:rFonts w:cstheme="minorHAnsi"/>
        </w:rPr>
        <w:t>range</w:t>
      </w:r>
      <w:proofErr w:type="spellEnd"/>
      <w:r w:rsidRPr="00104616">
        <w:rPr>
          <w:rFonts w:cstheme="minorHAnsi"/>
        </w:rPr>
        <w:t xml:space="preserve"> dei valori medi oscilla fra un valore minimo di 2.8 complessiva sostenibilità del carico di studio personale (</w:t>
      </w:r>
      <w:r w:rsidRPr="00104616">
        <w:rPr>
          <w:rFonts w:cstheme="minorHAnsi"/>
          <w:b/>
        </w:rPr>
        <w:t>S1</w:t>
      </w:r>
      <w:r w:rsidRPr="00104616">
        <w:rPr>
          <w:rFonts w:cstheme="minorHAnsi"/>
        </w:rPr>
        <w:t>) e un valore massimo di 3.4 per l’adeguatezza dei laboratori alle esigenze didattiche (</w:t>
      </w:r>
      <w:r w:rsidRPr="00104616">
        <w:rPr>
          <w:rFonts w:cstheme="minorHAnsi"/>
          <w:b/>
        </w:rPr>
        <w:t>S7</w:t>
      </w:r>
      <w:r w:rsidRPr="00104616">
        <w:rPr>
          <w:rFonts w:cstheme="minorHAnsi"/>
        </w:rPr>
        <w:t xml:space="preserve">). </w:t>
      </w:r>
    </w:p>
    <w:p w14:paraId="4619C87F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  <w:r w:rsidRPr="00104616">
        <w:rPr>
          <w:rFonts w:cstheme="minorHAnsi"/>
        </w:rPr>
        <w:lastRenderedPageBreak/>
        <w:t xml:space="preserve">L’analisi dei </w:t>
      </w:r>
      <w:r w:rsidRPr="00104616">
        <w:rPr>
          <w:rFonts w:cstheme="minorHAnsi"/>
          <w:b/>
          <w:bCs/>
        </w:rPr>
        <w:t>dati di frequenza</w:t>
      </w:r>
      <w:r w:rsidRPr="00104616">
        <w:rPr>
          <w:rFonts w:cstheme="minorHAnsi"/>
        </w:rPr>
        <w:t xml:space="preserve"> indica che i quesiti relativi all’adeguatezza delle aule (</w:t>
      </w:r>
      <w:r w:rsidRPr="00104616">
        <w:rPr>
          <w:rFonts w:cstheme="minorHAnsi"/>
          <w:b/>
        </w:rPr>
        <w:t>S4</w:t>
      </w:r>
      <w:r w:rsidRPr="00104616">
        <w:rPr>
          <w:rFonts w:cstheme="minorHAnsi"/>
        </w:rPr>
        <w:t>), all’accessibilità e all’adeguatezza delle biblioteche (</w:t>
      </w:r>
      <w:r w:rsidRPr="00104616">
        <w:rPr>
          <w:rFonts w:cstheme="minorHAnsi"/>
          <w:b/>
          <w:bCs/>
        </w:rPr>
        <w:t>S6</w:t>
      </w:r>
      <w:r w:rsidRPr="00104616">
        <w:rPr>
          <w:rFonts w:cstheme="minorHAnsi"/>
        </w:rPr>
        <w:t>), all’adeguatezza dei laboratori (</w:t>
      </w:r>
      <w:r w:rsidRPr="00104616">
        <w:rPr>
          <w:rFonts w:cstheme="minorHAnsi"/>
          <w:b/>
          <w:bCs/>
        </w:rPr>
        <w:t>S7</w:t>
      </w:r>
      <w:r w:rsidRPr="00104616">
        <w:rPr>
          <w:rFonts w:cstheme="minorHAnsi"/>
        </w:rPr>
        <w:t xml:space="preserve">), all’adeguatezza del servizio dell’unità didattica del </w:t>
      </w:r>
      <w:proofErr w:type="spellStart"/>
      <w:r w:rsidRPr="00104616">
        <w:rPr>
          <w:rFonts w:cstheme="minorHAnsi"/>
        </w:rPr>
        <w:t>CdS</w:t>
      </w:r>
      <w:proofErr w:type="spellEnd"/>
      <w:r w:rsidRPr="00104616">
        <w:rPr>
          <w:rFonts w:cstheme="minorHAnsi"/>
        </w:rPr>
        <w:t xml:space="preserve"> (</w:t>
      </w:r>
      <w:r w:rsidRPr="00104616">
        <w:rPr>
          <w:rFonts w:cstheme="minorHAnsi"/>
          <w:b/>
          <w:bCs/>
        </w:rPr>
        <w:t>S9</w:t>
      </w:r>
      <w:r w:rsidRPr="00104616">
        <w:rPr>
          <w:rFonts w:cstheme="minorHAnsi"/>
        </w:rPr>
        <w:t>), all’utilità e l’efficacia delle attività di tutorato svolte (</w:t>
      </w:r>
      <w:r w:rsidRPr="00104616">
        <w:rPr>
          <w:rFonts w:cstheme="minorHAnsi"/>
          <w:b/>
          <w:bCs/>
        </w:rPr>
        <w:t>S10</w:t>
      </w:r>
      <w:r w:rsidRPr="00104616">
        <w:rPr>
          <w:rFonts w:cstheme="minorHAnsi"/>
        </w:rPr>
        <w:t>) e sulla didattica a distanza (</w:t>
      </w:r>
      <w:r w:rsidRPr="00104616">
        <w:rPr>
          <w:rFonts w:cstheme="minorHAnsi"/>
          <w:b/>
        </w:rPr>
        <w:t>SF2</w:t>
      </w:r>
      <w:r w:rsidRPr="00104616">
        <w:rPr>
          <w:rFonts w:cstheme="minorHAnsi"/>
        </w:rPr>
        <w:t>) hanno ricevuto valutazioni molto positive (3-4) da circa il 90% degli studenti.  Anche l’orario delle lezioni (</w:t>
      </w:r>
      <w:r w:rsidRPr="00104616">
        <w:rPr>
          <w:rFonts w:cstheme="minorHAnsi"/>
          <w:b/>
          <w:bCs/>
        </w:rPr>
        <w:t>S3</w:t>
      </w:r>
      <w:r w:rsidRPr="00104616">
        <w:rPr>
          <w:rFonts w:cstheme="minorHAnsi"/>
        </w:rPr>
        <w:t>), l’accessibilità delle aule studio (</w:t>
      </w:r>
      <w:r w:rsidRPr="00104616">
        <w:rPr>
          <w:rFonts w:cstheme="minorHAnsi"/>
          <w:b/>
          <w:bCs/>
        </w:rPr>
        <w:t>S5</w:t>
      </w:r>
      <w:r w:rsidRPr="00104616">
        <w:rPr>
          <w:rFonts w:cstheme="minorHAnsi"/>
        </w:rPr>
        <w:t>), la puntualità e l’efficacia del servizio di informazione/orientamento (</w:t>
      </w:r>
      <w:r w:rsidRPr="00104616">
        <w:rPr>
          <w:rFonts w:cstheme="minorHAnsi"/>
          <w:b/>
          <w:bCs/>
        </w:rPr>
        <w:t>S8</w:t>
      </w:r>
      <w:r w:rsidRPr="00104616">
        <w:rPr>
          <w:rFonts w:cstheme="minorHAnsi"/>
        </w:rPr>
        <w:t>), la reperibilità e completezza delle informazioni presenti sul dito del Dipartimento o del Corso (</w:t>
      </w:r>
      <w:r w:rsidRPr="00104616">
        <w:rPr>
          <w:rFonts w:cstheme="minorHAnsi"/>
          <w:b/>
          <w:bCs/>
        </w:rPr>
        <w:t>S11</w:t>
      </w:r>
      <w:r w:rsidRPr="00104616">
        <w:rPr>
          <w:rFonts w:cstheme="minorHAnsi"/>
        </w:rPr>
        <w:t>) e la didattica a distanza (</w:t>
      </w:r>
      <w:r w:rsidRPr="00104616">
        <w:rPr>
          <w:rFonts w:cstheme="minorHAnsi"/>
          <w:b/>
          <w:bCs/>
        </w:rPr>
        <w:t>SF1, SF3</w:t>
      </w:r>
      <w:r w:rsidRPr="00104616">
        <w:rPr>
          <w:rFonts w:cstheme="minorHAnsi"/>
        </w:rPr>
        <w:t xml:space="preserve">) sono stati valutati positivamente (3-4) da un’alta percentuale degli studenti (80-89%). </w:t>
      </w:r>
    </w:p>
    <w:p w14:paraId="662D7BD0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  <w:r w:rsidRPr="00104616">
        <w:rPr>
          <w:rFonts w:cstheme="minorHAnsi"/>
        </w:rPr>
        <w:t xml:space="preserve">Gli aspetti organizzativi valutati con percentuali più alte di insoddisfazione (risposte 1 o 2) da più del 20% degli studenti riguardano quesiti (carico di studio personale </w:t>
      </w:r>
      <w:r w:rsidRPr="00104616">
        <w:rPr>
          <w:rFonts w:cstheme="minorHAnsi"/>
          <w:b/>
        </w:rPr>
        <w:t>S1</w:t>
      </w:r>
      <w:r w:rsidRPr="00104616">
        <w:rPr>
          <w:rFonts w:cstheme="minorHAnsi"/>
        </w:rPr>
        <w:t xml:space="preserve">, organizzazione complessiva degli insegnamenti </w:t>
      </w:r>
      <w:r w:rsidRPr="00104616">
        <w:rPr>
          <w:rFonts w:cstheme="minorHAnsi"/>
          <w:b/>
          <w:bCs/>
        </w:rPr>
        <w:t>S2</w:t>
      </w:r>
      <w:r w:rsidRPr="00104616">
        <w:rPr>
          <w:rFonts w:cstheme="minorHAnsi"/>
        </w:rPr>
        <w:t xml:space="preserve"> e giudizio complessivo sulla qualità organizzativa del Corso di studio, </w:t>
      </w:r>
      <w:r w:rsidRPr="00104616">
        <w:rPr>
          <w:rFonts w:cstheme="minorHAnsi"/>
          <w:b/>
        </w:rPr>
        <w:t>S12</w:t>
      </w:r>
      <w:r w:rsidRPr="00104616">
        <w:rPr>
          <w:rFonts w:cstheme="minorHAnsi"/>
        </w:rPr>
        <w:t xml:space="preserve">). </w:t>
      </w:r>
    </w:p>
    <w:p w14:paraId="79F3C5EE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</w:p>
    <w:p w14:paraId="17FD46D5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VALUTAZIONE TIROCINIO</w:t>
      </w:r>
    </w:p>
    <w:p w14:paraId="6A930728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>Per l’</w:t>
      </w:r>
      <w:proofErr w:type="spellStart"/>
      <w:r w:rsidRPr="00104616">
        <w:rPr>
          <w:rFonts w:cstheme="minorHAnsi"/>
        </w:rPr>
        <w:t>a.a</w:t>
      </w:r>
      <w:proofErr w:type="spellEnd"/>
      <w:r w:rsidRPr="00104616">
        <w:rPr>
          <w:rFonts w:cstheme="minorHAnsi"/>
        </w:rPr>
        <w:t>. 2021-22 il report di valutazione sull’organizzazione dei tirocini presenta la divisione in due gruppi gruppo TC composto da 47 rispondenti che include tutti coloro i quali hanno completato le attività di tirocinio previste per l’</w:t>
      </w:r>
      <w:proofErr w:type="spellStart"/>
      <w:r w:rsidRPr="00104616">
        <w:rPr>
          <w:rFonts w:cstheme="minorHAnsi"/>
        </w:rPr>
        <w:t>a.a</w:t>
      </w:r>
      <w:proofErr w:type="spellEnd"/>
      <w:r w:rsidRPr="00104616">
        <w:rPr>
          <w:rFonts w:cstheme="minorHAnsi"/>
        </w:rPr>
        <w:t>. e il gruppo TP composto da 22 rispondenti che include tutti coloro i quali hanno svolto più della metà del tirocinio previsto per l’</w:t>
      </w:r>
      <w:proofErr w:type="spellStart"/>
      <w:r w:rsidRPr="00104616">
        <w:rPr>
          <w:rFonts w:cstheme="minorHAnsi"/>
        </w:rPr>
        <w:t>a.a</w:t>
      </w:r>
      <w:proofErr w:type="spellEnd"/>
      <w:r w:rsidRPr="00104616">
        <w:rPr>
          <w:rFonts w:cstheme="minorHAnsi"/>
        </w:rPr>
        <w:t>.</w:t>
      </w:r>
    </w:p>
    <w:p w14:paraId="25868910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Il </w:t>
      </w:r>
      <w:proofErr w:type="spellStart"/>
      <w:r w:rsidRPr="00104616">
        <w:rPr>
          <w:rFonts w:cstheme="minorHAnsi"/>
          <w:i/>
        </w:rPr>
        <w:t>range</w:t>
      </w:r>
      <w:proofErr w:type="spellEnd"/>
      <w:r w:rsidRPr="00104616">
        <w:rPr>
          <w:rFonts w:cstheme="minorHAnsi"/>
        </w:rPr>
        <w:t xml:space="preserve"> dei valori medi nel gruppo TC spazia dal valore minimo di 2.9 per l’acquisizione di adeguate abilità pratiche durante il tirocinio (</w:t>
      </w:r>
      <w:r w:rsidRPr="00104616">
        <w:rPr>
          <w:rFonts w:cstheme="minorHAnsi"/>
          <w:b/>
          <w:bCs/>
        </w:rPr>
        <w:t>T3</w:t>
      </w:r>
      <w:r w:rsidRPr="00104616">
        <w:rPr>
          <w:rFonts w:cstheme="minorHAnsi"/>
        </w:rPr>
        <w:t>) al valore massimo di 3.4 per l’adeguatezza della/e strutture in cui si è svolto il tirocinio (</w:t>
      </w:r>
      <w:r w:rsidRPr="00104616">
        <w:rPr>
          <w:rFonts w:cstheme="minorHAnsi"/>
          <w:b/>
          <w:bCs/>
        </w:rPr>
        <w:t>T1</w:t>
      </w:r>
      <w:r w:rsidRPr="00104616">
        <w:rPr>
          <w:rFonts w:cstheme="minorHAnsi"/>
        </w:rPr>
        <w:t>). La media delle altre due domande presenta valori superiori a 3.2.</w:t>
      </w:r>
    </w:p>
    <w:p w14:paraId="3544E422" w14:textId="77777777" w:rsidR="00B3691D" w:rsidRPr="00104616" w:rsidRDefault="00B3691D" w:rsidP="00B3691D">
      <w:pPr>
        <w:jc w:val="both"/>
        <w:rPr>
          <w:rFonts w:cstheme="minorHAnsi"/>
        </w:rPr>
      </w:pPr>
      <w:r w:rsidRPr="00104616">
        <w:rPr>
          <w:rFonts w:cstheme="minorHAnsi"/>
        </w:rPr>
        <w:t xml:space="preserve">Per il gruppo B il </w:t>
      </w:r>
      <w:proofErr w:type="spellStart"/>
      <w:r w:rsidRPr="00104616">
        <w:rPr>
          <w:rFonts w:cstheme="minorHAnsi"/>
          <w:i/>
        </w:rPr>
        <w:t>range</w:t>
      </w:r>
      <w:proofErr w:type="spellEnd"/>
      <w:r w:rsidRPr="00104616">
        <w:rPr>
          <w:rFonts w:cstheme="minorHAnsi"/>
        </w:rPr>
        <w:t xml:space="preserve"> va da un valore medio minimo di 2.6 per l’acquisizione di adeguate abilità pratiche durante il tirocinio (</w:t>
      </w:r>
      <w:r w:rsidRPr="00104616">
        <w:rPr>
          <w:rFonts w:cstheme="minorHAnsi"/>
          <w:b/>
          <w:bCs/>
        </w:rPr>
        <w:t>T3</w:t>
      </w:r>
      <w:r w:rsidRPr="00104616">
        <w:rPr>
          <w:rFonts w:cstheme="minorHAnsi"/>
        </w:rPr>
        <w:t>) al valore massimo di 3.4 per l’adeguatezza del grado di presenza e disponibilità dei tutors (</w:t>
      </w:r>
      <w:r w:rsidRPr="00104616">
        <w:rPr>
          <w:rFonts w:cstheme="minorHAnsi"/>
          <w:b/>
          <w:bCs/>
        </w:rPr>
        <w:t>T2</w:t>
      </w:r>
      <w:r w:rsidRPr="00104616">
        <w:rPr>
          <w:rFonts w:cstheme="minorHAnsi"/>
        </w:rPr>
        <w:t>). La media delle altre due domande presenta valori superiori a 3.2.</w:t>
      </w:r>
    </w:p>
    <w:p w14:paraId="2EF0C478" w14:textId="77777777" w:rsidR="00B3691D" w:rsidRPr="00104616" w:rsidRDefault="00B3691D" w:rsidP="00B3691D">
      <w:pPr>
        <w:jc w:val="both"/>
        <w:rPr>
          <w:rFonts w:eastAsia="Arial" w:cstheme="minorHAnsi"/>
        </w:rPr>
      </w:pPr>
      <w:r w:rsidRPr="00104616">
        <w:rPr>
          <w:rFonts w:cstheme="minorHAnsi"/>
        </w:rPr>
        <w:t xml:space="preserve">In allegato è disponibile il report sui questionari di valutazione della didattica </w:t>
      </w:r>
      <w:proofErr w:type="spellStart"/>
      <w:r w:rsidRPr="00104616">
        <w:rPr>
          <w:rFonts w:cstheme="minorHAnsi"/>
        </w:rPr>
        <w:t>a.a</w:t>
      </w:r>
      <w:proofErr w:type="spellEnd"/>
      <w:r w:rsidRPr="00104616">
        <w:rPr>
          <w:rFonts w:cstheme="minorHAnsi"/>
        </w:rPr>
        <w:t>. 2021/2022.</w:t>
      </w:r>
    </w:p>
    <w:p w14:paraId="65ADFA72" w14:textId="77777777" w:rsidR="00B3691D" w:rsidRPr="00104616" w:rsidRDefault="00B3691D" w:rsidP="00B3691D">
      <w:pPr>
        <w:spacing w:after="0"/>
        <w:jc w:val="both"/>
        <w:rPr>
          <w:rFonts w:cstheme="minorHAnsi"/>
        </w:rPr>
      </w:pPr>
    </w:p>
    <w:bookmarkEnd w:id="0"/>
    <w:p w14:paraId="56F5EF7A" w14:textId="77777777" w:rsidR="00B3691D" w:rsidRPr="00104616" w:rsidRDefault="00B3691D" w:rsidP="00B3691D">
      <w:pPr>
        <w:spacing w:after="0"/>
        <w:jc w:val="both"/>
        <w:rPr>
          <w:rFonts w:ascii="Calibri" w:hAnsi="Calibri" w:cs="Calibri"/>
          <w:b/>
          <w:bCs/>
        </w:rPr>
      </w:pPr>
      <w:r w:rsidRPr="00104616">
        <w:rPr>
          <w:rFonts w:ascii="Calibri" w:hAnsi="Calibri" w:cs="Calibri"/>
          <w:b/>
          <w:bCs/>
        </w:rPr>
        <w:t>PUNTI DI FORZA E CRITICITA’ DEL CORSO DI STUDIO NEL SUO COMPLESSO</w:t>
      </w:r>
    </w:p>
    <w:p w14:paraId="33F10532" w14:textId="77777777" w:rsidR="00B3691D" w:rsidRPr="00104616" w:rsidRDefault="00B3691D" w:rsidP="00B3691D">
      <w:pPr>
        <w:spacing w:after="0"/>
        <w:ind w:firstLine="708"/>
        <w:jc w:val="both"/>
        <w:rPr>
          <w:rFonts w:ascii="Calibri" w:hAnsi="Calibri" w:cs="Calibri"/>
        </w:rPr>
      </w:pPr>
    </w:p>
    <w:p w14:paraId="40611BE4" w14:textId="77777777" w:rsidR="00B3691D" w:rsidRPr="00104616" w:rsidRDefault="00B3691D" w:rsidP="00B3691D">
      <w:pPr>
        <w:spacing w:after="0"/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 xml:space="preserve">Sulla base dei dati precedentemente esposti, emergono come </w:t>
      </w:r>
      <w:r w:rsidRPr="00104616">
        <w:rPr>
          <w:rFonts w:ascii="Calibri" w:hAnsi="Calibri" w:cs="Calibri"/>
          <w:b/>
          <w:bCs/>
        </w:rPr>
        <w:t>punti di forza</w:t>
      </w:r>
      <w:r w:rsidRPr="00104616">
        <w:rPr>
          <w:rFonts w:ascii="Calibri" w:hAnsi="Calibri" w:cs="Calibri"/>
        </w:rPr>
        <w:t xml:space="preserve"> quasi tutte le componenti logistiche della didattica relative al rispetto degli orari, alla disponibilità dei docenti, alla coerenza delle attività formative con i programmi pubblicati, alla chiara definizione delle modalità d’esame e all’adeguatezza delle conoscenze preliminari possedute. Emergono anche giudizi molto positivi per le componenti didattiche relative alla capacità dei docenti di stimolare e motivare l’interesse per le materie e di esporre i contenuti con chiarezza e all’adeguatezza del materiale didattico. A livello organizzativo emergono come principali punti di forza sia la completezza delle informazioni sul sito del Corso di Studio che l’adeguatezza e l’efficacia di tutti gli aspetti che riguardano la teledidattica.  </w:t>
      </w:r>
    </w:p>
    <w:p w14:paraId="6877D3AA" w14:textId="77777777" w:rsidR="00B3691D" w:rsidRPr="00104616" w:rsidRDefault="00B3691D" w:rsidP="00B3691D">
      <w:pPr>
        <w:spacing w:after="0"/>
        <w:jc w:val="both"/>
        <w:rPr>
          <w:rFonts w:ascii="Calibri" w:hAnsi="Calibri" w:cs="Calibri"/>
        </w:rPr>
      </w:pPr>
    </w:p>
    <w:p w14:paraId="580018CB" w14:textId="46E4AF55" w:rsidR="00B3691D" w:rsidRPr="00104616" w:rsidRDefault="00B3691D" w:rsidP="00B3691D">
      <w:pPr>
        <w:spacing w:after="0"/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>I principali aspetti critici rilevati dal questionario riguardano la non adeguatezza delle conoscenze preliminari, verosimi</w:t>
      </w:r>
      <w:r>
        <w:rPr>
          <w:rFonts w:ascii="Calibri" w:hAnsi="Calibri" w:cs="Calibri"/>
        </w:rPr>
        <w:t>lmente legata all’eter</w:t>
      </w:r>
      <w:r w:rsidRPr="00104616">
        <w:rPr>
          <w:rFonts w:ascii="Calibri" w:hAnsi="Calibri" w:cs="Calibri"/>
        </w:rPr>
        <w:t xml:space="preserve">ogeneità della formazione degli studenti affluenti al </w:t>
      </w:r>
      <w:proofErr w:type="spellStart"/>
      <w:r w:rsidRPr="00104616">
        <w:rPr>
          <w:rFonts w:ascii="Calibri" w:hAnsi="Calibri" w:cs="Calibri"/>
        </w:rPr>
        <w:t>CdL</w:t>
      </w:r>
      <w:proofErr w:type="spellEnd"/>
      <w:r w:rsidRPr="00104616">
        <w:rPr>
          <w:rFonts w:ascii="Calibri" w:hAnsi="Calibri" w:cs="Calibri"/>
        </w:rPr>
        <w:t xml:space="preserve"> magistrale da diversi </w:t>
      </w:r>
      <w:proofErr w:type="spellStart"/>
      <w:r w:rsidRPr="00104616">
        <w:rPr>
          <w:rFonts w:ascii="Calibri" w:hAnsi="Calibri" w:cs="Calibri"/>
        </w:rPr>
        <w:t>CdL</w:t>
      </w:r>
      <w:proofErr w:type="spellEnd"/>
      <w:r w:rsidRPr="00104616">
        <w:rPr>
          <w:rFonts w:ascii="Calibri" w:hAnsi="Calibri" w:cs="Calibri"/>
        </w:rPr>
        <w:t xml:space="preserve"> triennali. Tale non adeguatezza può anche parzialmente spiegare il giudizio critico sull’eccessivo e non sostenibile carico di studio. Risultano infine da curare contenu</w:t>
      </w:r>
      <w:r>
        <w:rPr>
          <w:rFonts w:ascii="Calibri" w:hAnsi="Calibri" w:cs="Calibri"/>
        </w:rPr>
        <w:t>ti e svolgimento delle attività</w:t>
      </w:r>
      <w:r w:rsidRPr="00104616">
        <w:rPr>
          <w:rFonts w:ascii="Calibri" w:hAnsi="Calibri" w:cs="Calibri"/>
        </w:rPr>
        <w:t xml:space="preserve"> didattiche integrative,</w:t>
      </w:r>
      <w:r>
        <w:rPr>
          <w:rFonts w:ascii="Calibri" w:hAnsi="Calibri" w:cs="Calibri"/>
        </w:rPr>
        <w:t xml:space="preserve"> che dovranno sempre più</w:t>
      </w:r>
      <w:r w:rsidRPr="00104616">
        <w:rPr>
          <w:rFonts w:ascii="Calibri" w:hAnsi="Calibri" w:cs="Calibri"/>
        </w:rPr>
        <w:t xml:space="preserve"> costituire un ponte tra i contenuti nei corsi di base offerti e gli sbocchi lavorativi.</w:t>
      </w:r>
    </w:p>
    <w:p w14:paraId="16C3FD23" w14:textId="77777777" w:rsidR="00B3691D" w:rsidRPr="00104616" w:rsidRDefault="00B3691D" w:rsidP="00B3691D">
      <w:pPr>
        <w:spacing w:after="0"/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t xml:space="preserve"> </w:t>
      </w:r>
    </w:p>
    <w:p w14:paraId="77D2F5F0" w14:textId="77777777" w:rsidR="00B3691D" w:rsidRPr="00104616" w:rsidRDefault="00B3691D" w:rsidP="00B3691D">
      <w:pPr>
        <w:spacing w:after="0"/>
        <w:jc w:val="both"/>
        <w:rPr>
          <w:rFonts w:ascii="Calibri" w:hAnsi="Calibri" w:cs="Calibri"/>
        </w:rPr>
      </w:pPr>
      <w:r w:rsidRPr="00104616">
        <w:rPr>
          <w:rFonts w:ascii="Calibri" w:hAnsi="Calibri" w:cs="Calibri"/>
        </w:rPr>
        <w:lastRenderedPageBreak/>
        <w:t xml:space="preserve">Preso atto delle criticità emerse dai questionari e dai suggerimenti degli studenti, si propone di promuovere all’interno del Corso di Studio l’incremento di </w:t>
      </w:r>
      <w:r w:rsidRPr="00104616">
        <w:rPr>
          <w:rFonts w:ascii="Calibri" w:hAnsi="Calibri" w:cs="Calibri"/>
          <w:b/>
        </w:rPr>
        <w:t>pro</w:t>
      </w:r>
      <w:r w:rsidRPr="00104616">
        <w:rPr>
          <w:rFonts w:ascii="Calibri" w:hAnsi="Calibri" w:cs="Calibri"/>
          <w:b/>
          <w:bCs/>
        </w:rPr>
        <w:t>ve in itinere</w:t>
      </w:r>
      <w:r w:rsidRPr="00104616">
        <w:rPr>
          <w:rFonts w:ascii="Calibri" w:hAnsi="Calibri" w:cs="Calibri"/>
        </w:rPr>
        <w:t xml:space="preserve"> e la </w:t>
      </w:r>
      <w:r w:rsidRPr="00104616">
        <w:rPr>
          <w:rFonts w:ascii="Calibri" w:hAnsi="Calibri" w:cs="Calibri"/>
          <w:b/>
          <w:bCs/>
        </w:rPr>
        <w:t>revisione del materiale didattico</w:t>
      </w:r>
      <w:r w:rsidRPr="00104616">
        <w:rPr>
          <w:rFonts w:ascii="Calibri" w:hAnsi="Calibri" w:cs="Calibri"/>
        </w:rPr>
        <w:t xml:space="preserve"> fornito agli studenti. Si suggerirà inoltre ai docenti di indicare con precisione sul portale Valutami e sul sito del Corso di Studi </w:t>
      </w:r>
      <w:r w:rsidRPr="00104616">
        <w:rPr>
          <w:rFonts w:ascii="Calibri" w:hAnsi="Calibri" w:cs="Calibri"/>
          <w:b/>
          <w:bCs/>
        </w:rPr>
        <w:t xml:space="preserve">i requisiti richiesti </w:t>
      </w:r>
      <w:r w:rsidRPr="00104616">
        <w:rPr>
          <w:rFonts w:ascii="Calibri" w:hAnsi="Calibri" w:cs="Calibri"/>
        </w:rPr>
        <w:t xml:space="preserve">agli studenti ed eventuali </w:t>
      </w:r>
      <w:r w:rsidRPr="00104616">
        <w:rPr>
          <w:rFonts w:ascii="Calibri" w:hAnsi="Calibri" w:cs="Calibri"/>
          <w:b/>
          <w:bCs/>
        </w:rPr>
        <w:t>riferimenti a materiale relativo</w:t>
      </w:r>
      <w:r w:rsidRPr="00104616">
        <w:rPr>
          <w:rFonts w:ascii="Calibri" w:hAnsi="Calibri" w:cs="Calibri"/>
        </w:rPr>
        <w:t xml:space="preserve"> a concetti ritenuti imprescindibili prerequisiti per il corso. Si promuoverà infine l’accesso alle attività di tutorato svolto da parte dei docenti. Si confida che l’implementazione di queste azioni possa aiutare a ridimensionare la percezione del carico di lavoro dei corsi, attualmente ritenuto eccessivo da un’elevata percentuale di studenti. </w:t>
      </w:r>
    </w:p>
    <w:p w14:paraId="7331EA4D" w14:textId="77777777" w:rsidR="00B3691D" w:rsidRPr="00104616" w:rsidRDefault="00B3691D" w:rsidP="00B3691D">
      <w:pPr>
        <w:spacing w:after="0"/>
        <w:jc w:val="both"/>
        <w:rPr>
          <w:rFonts w:ascii="Calibri" w:hAnsi="Calibri" w:cs="Calibri"/>
        </w:rPr>
      </w:pPr>
    </w:p>
    <w:p w14:paraId="74DBE551" w14:textId="77777777" w:rsidR="00B3691D" w:rsidRDefault="00B3691D" w:rsidP="007D0CBA">
      <w:pPr>
        <w:pBdr>
          <w:bottom w:val="none" w:sz="0" w:space="5" w:color="000000"/>
        </w:pBdr>
        <w:spacing w:after="0"/>
        <w:jc w:val="center"/>
        <w:rPr>
          <w:b/>
        </w:rPr>
      </w:pPr>
    </w:p>
    <w:p w14:paraId="424C43EB" w14:textId="373E73C6" w:rsidR="00775990" w:rsidRDefault="00775990" w:rsidP="007D0CBA">
      <w:pPr>
        <w:spacing w:after="0"/>
        <w:rPr>
          <w:rFonts w:cstheme="minorHAnsi"/>
          <w:b/>
        </w:rPr>
      </w:pPr>
    </w:p>
    <w:p w14:paraId="71EC493F" w14:textId="77777777" w:rsidR="00C62258" w:rsidRDefault="00C62258" w:rsidP="007D0CBA">
      <w:pPr>
        <w:spacing w:after="0"/>
        <w:rPr>
          <w:rFonts w:cstheme="minorHAnsi"/>
          <w:b/>
        </w:rPr>
      </w:pPr>
      <w:bookmarkStart w:id="5" w:name="_GoBack"/>
      <w:bookmarkEnd w:id="5"/>
    </w:p>
    <w:sectPr w:rsidR="00C6225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6164" w14:textId="77777777" w:rsidR="009A3335" w:rsidRDefault="009A3335" w:rsidP="00775990">
      <w:pPr>
        <w:spacing w:after="0" w:line="240" w:lineRule="auto"/>
      </w:pPr>
      <w:r>
        <w:separator/>
      </w:r>
    </w:p>
  </w:endnote>
  <w:endnote w:type="continuationSeparator" w:id="0">
    <w:p w14:paraId="50A2DFDF" w14:textId="77777777" w:rsidR="009A3335" w:rsidRDefault="009A3335" w:rsidP="0077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B914" w14:textId="77777777" w:rsidR="009A3335" w:rsidRDefault="009A3335" w:rsidP="00775990">
      <w:pPr>
        <w:spacing w:after="0" w:line="240" w:lineRule="auto"/>
      </w:pPr>
      <w:r>
        <w:separator/>
      </w:r>
    </w:p>
  </w:footnote>
  <w:footnote w:type="continuationSeparator" w:id="0">
    <w:p w14:paraId="7E32EC1F" w14:textId="77777777" w:rsidR="009A3335" w:rsidRDefault="009A3335" w:rsidP="0077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71AF" w14:textId="77777777" w:rsidR="00AD1C9D" w:rsidRDefault="00775990" w:rsidP="00AD1C9D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137028FF" wp14:editId="50E17DF3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913130" cy="932180"/>
          <wp:effectExtent l="0" t="0" r="1270" b="127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U</w:t>
    </w:r>
    <w:r w:rsidR="00AD1C9D">
      <w:rPr>
        <w:rFonts w:ascii="Arial" w:eastAsia="Times New Roman" w:hAnsi="Arial" w:cs="Arial"/>
        <w:b/>
        <w:bCs/>
        <w:noProof/>
        <w:color w:val="2E74B5"/>
        <w:sz w:val="20"/>
        <w:szCs w:val="2"/>
      </w:rPr>
      <w:t>NIVERSITÀ DI PISA</w:t>
    </w:r>
  </w:p>
  <w:p w14:paraId="3D192B47" w14:textId="77777777" w:rsidR="00AD1C9D" w:rsidRDefault="00AD1C9D" w:rsidP="00AD1C9D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 xml:space="preserve">Dipartimento di </w:t>
    </w:r>
    <w:r>
      <w:rPr>
        <w:rFonts w:ascii="Arial" w:hAnsi="Arial" w:cs="Arial"/>
        <w:b/>
        <w:bCs/>
        <w:color w:val="2E74B5"/>
        <w:sz w:val="20"/>
        <w:szCs w:val="0"/>
      </w:rPr>
      <w:t>Patologia Chirurgica, Medica, Molecolare e dell’Area Critica</w:t>
    </w:r>
  </w:p>
  <w:p w14:paraId="099E216E" w14:textId="77777777" w:rsidR="00AD1C9D" w:rsidRDefault="00AD1C9D" w:rsidP="00AD1C9D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</w:p>
  <w:p w14:paraId="12753C40" w14:textId="77777777" w:rsidR="00AD1C9D" w:rsidRDefault="00AD1C9D" w:rsidP="00AD1C9D">
    <w:pPr>
      <w:pBdr>
        <w:bottom w:val="none" w:sz="0" w:space="11" w:color="000000"/>
      </w:pBdr>
      <w:tabs>
        <w:tab w:val="left" w:pos="8449"/>
      </w:tabs>
    </w:pP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Consiglio </w:t>
    </w:r>
    <w:r>
      <w:rPr>
        <w:rFonts w:ascii="Arial" w:hAnsi="Arial" w:cs="Arial"/>
        <w:b/>
        <w:bCs/>
        <w:i/>
        <w:iCs/>
        <w:color w:val="2E74B5"/>
        <w:sz w:val="20"/>
        <w:szCs w:val="0"/>
      </w:rPr>
      <w:t xml:space="preserve">Aggregato del </w:t>
    </w:r>
    <w:proofErr w:type="spellStart"/>
    <w:r>
      <w:rPr>
        <w:rFonts w:ascii="Arial" w:hAnsi="Arial" w:cs="Arial"/>
        <w:b/>
        <w:bCs/>
        <w:i/>
        <w:iCs/>
        <w:color w:val="2E74B5"/>
        <w:sz w:val="20"/>
        <w:szCs w:val="0"/>
      </w:rPr>
      <w:t>CdL</w:t>
    </w:r>
    <w:proofErr w:type="spellEnd"/>
    <w:r>
      <w:rPr>
        <w:rFonts w:ascii="Arial" w:hAnsi="Arial" w:cs="Arial"/>
        <w:b/>
        <w:bCs/>
        <w:i/>
        <w:iCs/>
        <w:color w:val="2E74B5"/>
        <w:sz w:val="20"/>
        <w:szCs w:val="0"/>
      </w:rPr>
      <w:t xml:space="preserve"> in Scienze e Tecniche di Psicologia Clinica della Salute e del </w:t>
    </w:r>
    <w:proofErr w:type="spellStart"/>
    <w:r>
      <w:rPr>
        <w:rFonts w:ascii="Arial" w:hAnsi="Arial" w:cs="Arial"/>
        <w:b/>
        <w:bCs/>
        <w:i/>
        <w:iCs/>
        <w:color w:val="2E74B5"/>
        <w:sz w:val="20"/>
        <w:szCs w:val="0"/>
      </w:rPr>
      <w:t>CdLM</w:t>
    </w:r>
    <w:proofErr w:type="spellEnd"/>
    <w:r>
      <w:rPr>
        <w:rFonts w:ascii="Arial" w:hAnsi="Arial" w:cs="Arial"/>
        <w:b/>
        <w:bCs/>
        <w:i/>
        <w:iCs/>
        <w:color w:val="2E74B5"/>
        <w:sz w:val="20"/>
        <w:szCs w:val="0"/>
      </w:rPr>
      <w:t xml:space="preserve"> in Psicologia clinica e della salute           </w:t>
    </w:r>
  </w:p>
  <w:p w14:paraId="36951B13" w14:textId="77777777" w:rsidR="00775990" w:rsidRDefault="00775990" w:rsidP="00AD1C9D">
    <w:pPr>
      <w:tabs>
        <w:tab w:val="left" w:pos="8449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AE9"/>
    <w:multiLevelType w:val="hybridMultilevel"/>
    <w:tmpl w:val="EA0E9A42"/>
    <w:lvl w:ilvl="0" w:tplc="34225B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F"/>
    <w:rsid w:val="00034132"/>
    <w:rsid w:val="00190C85"/>
    <w:rsid w:val="001C4C27"/>
    <w:rsid w:val="001C7F45"/>
    <w:rsid w:val="002513A6"/>
    <w:rsid w:val="00313DE7"/>
    <w:rsid w:val="0037474A"/>
    <w:rsid w:val="003775E1"/>
    <w:rsid w:val="003A0FD6"/>
    <w:rsid w:val="003F4BD6"/>
    <w:rsid w:val="003F503A"/>
    <w:rsid w:val="004A4A0D"/>
    <w:rsid w:val="00503901"/>
    <w:rsid w:val="00520725"/>
    <w:rsid w:val="005708C4"/>
    <w:rsid w:val="006069FF"/>
    <w:rsid w:val="006272D7"/>
    <w:rsid w:val="00646E31"/>
    <w:rsid w:val="00666B32"/>
    <w:rsid w:val="006C41AC"/>
    <w:rsid w:val="006D642B"/>
    <w:rsid w:val="00733EBF"/>
    <w:rsid w:val="00775990"/>
    <w:rsid w:val="007D0CBA"/>
    <w:rsid w:val="00821F0B"/>
    <w:rsid w:val="008A7B9B"/>
    <w:rsid w:val="008B717A"/>
    <w:rsid w:val="008C5549"/>
    <w:rsid w:val="008E43C4"/>
    <w:rsid w:val="009360FE"/>
    <w:rsid w:val="00961B68"/>
    <w:rsid w:val="00990B5E"/>
    <w:rsid w:val="009A3335"/>
    <w:rsid w:val="009A3700"/>
    <w:rsid w:val="00A43BBF"/>
    <w:rsid w:val="00A6460F"/>
    <w:rsid w:val="00AC3E51"/>
    <w:rsid w:val="00AD1C9D"/>
    <w:rsid w:val="00AE3970"/>
    <w:rsid w:val="00B3691D"/>
    <w:rsid w:val="00B778C9"/>
    <w:rsid w:val="00B77C78"/>
    <w:rsid w:val="00BD1F92"/>
    <w:rsid w:val="00C62258"/>
    <w:rsid w:val="00C63522"/>
    <w:rsid w:val="00C86DD9"/>
    <w:rsid w:val="00CC6764"/>
    <w:rsid w:val="00DB5A62"/>
    <w:rsid w:val="00DE74B0"/>
    <w:rsid w:val="00E4745E"/>
    <w:rsid w:val="00F55BAF"/>
    <w:rsid w:val="00F80D1F"/>
    <w:rsid w:val="00FE5C07"/>
    <w:rsid w:val="00FF38A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E95F"/>
  <w15:chartTrackingRefBased/>
  <w15:docId w15:val="{39A99784-82B3-4C5A-B2FA-F940D4C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FD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5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990"/>
  </w:style>
  <w:style w:type="paragraph" w:styleId="Pidipagina">
    <w:name w:val="footer"/>
    <w:basedOn w:val="Normale"/>
    <w:link w:val="PidipaginaCarattere"/>
    <w:uiPriority w:val="99"/>
    <w:unhideWhenUsed/>
    <w:rsid w:val="00775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7" ma:contentTypeDescription="Creare un nuovo documento." ma:contentTypeScope="" ma:versionID="ba374c5f71fe0fbb112b9f6e1d6b7005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e96a9b8fe4bd8462087ddb90ce4548b8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6B9FC-3A21-48B4-8DC3-2AAC0036DE76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2.xml><?xml version="1.0" encoding="utf-8"?>
<ds:datastoreItem xmlns:ds="http://schemas.openxmlformats.org/officeDocument/2006/customXml" ds:itemID="{580C8EAF-4FBB-446B-B28F-FCF4C811D7E9}"/>
</file>

<file path=customXml/itemProps3.xml><?xml version="1.0" encoding="utf-8"?>
<ds:datastoreItem xmlns:ds="http://schemas.openxmlformats.org/officeDocument/2006/customXml" ds:itemID="{3A1D3040-0D6C-4E39-976D-710CD478E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Caterina Meucci</cp:lastModifiedBy>
  <cp:revision>12</cp:revision>
  <dcterms:created xsi:type="dcterms:W3CDTF">2021-09-02T16:07:00Z</dcterms:created>
  <dcterms:modified xsi:type="dcterms:W3CDTF">2022-09-13T15:00:00Z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