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10763" w14:textId="77777777" w:rsidR="00330414" w:rsidRPr="00011B73" w:rsidRDefault="00330414" w:rsidP="00330414">
      <w:pPr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011B73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FAQ</w:t>
      </w:r>
    </w:p>
    <w:p w14:paraId="71352286" w14:textId="77777777" w:rsidR="00330414" w:rsidRPr="00011B73" w:rsidRDefault="00330414" w:rsidP="00330414">
      <w:pPr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011B73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(</w:t>
      </w:r>
      <w:proofErr w:type="spellStart"/>
      <w:r w:rsidRPr="00011B73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Frequently</w:t>
      </w:r>
      <w:proofErr w:type="spellEnd"/>
      <w:r w:rsidRPr="00011B73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 </w:t>
      </w:r>
      <w:proofErr w:type="spellStart"/>
      <w:r w:rsidRPr="00011B73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asked</w:t>
      </w:r>
      <w:proofErr w:type="spellEnd"/>
      <w:r w:rsidRPr="00011B73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 </w:t>
      </w:r>
      <w:proofErr w:type="spellStart"/>
      <w:r w:rsidRPr="00011B73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questions</w:t>
      </w:r>
      <w:proofErr w:type="spellEnd"/>
      <w:r w:rsidRPr="00011B73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)</w:t>
      </w:r>
    </w:p>
    <w:p w14:paraId="1E7A6C69" w14:textId="77777777" w:rsidR="00330414" w:rsidRPr="00011B73" w:rsidRDefault="00330414" w:rsidP="00330414">
      <w:pPr>
        <w:rPr>
          <w:b/>
          <w:bCs/>
        </w:rPr>
      </w:pPr>
    </w:p>
    <w:p w14:paraId="599DCA31" w14:textId="77777777" w:rsidR="00330414" w:rsidRPr="0054679F" w:rsidRDefault="00330414" w:rsidP="00330414">
      <w:pPr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54679F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Chi </w:t>
      </w:r>
      <w:r w:rsidRPr="009542AA"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può </w:t>
      </w:r>
      <w:r w:rsidRPr="0054679F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presentare domanda attraverso il presente avviso?</w:t>
      </w:r>
    </w:p>
    <w:p w14:paraId="012E731C" w14:textId="7F223DA1" w:rsidR="00330414" w:rsidRPr="009542AA" w:rsidRDefault="00330414" w:rsidP="00330414">
      <w:pPr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9542AA"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  <w:t>Tutti gli infermieri che posseggono i requisiti individuati dall’art. 2 del presente avviso che intendono svolgere la funzione di tutor clinico o di tutor di simulazione che non hanno già ottenuto l’attribuzione di questa funzione in precedenza.</w:t>
      </w:r>
    </w:p>
    <w:p w14:paraId="066948A6" w14:textId="77777777" w:rsidR="00330414" w:rsidRDefault="00330414" w:rsidP="00330414">
      <w:pPr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1014C5D3" w14:textId="77777777" w:rsidR="00330414" w:rsidRPr="009542AA" w:rsidRDefault="00330414" w:rsidP="00330414">
      <w:pPr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9542AA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Cambiando reparto non potrò svolgere la funzione di tutor per 1 anno?</w:t>
      </w:r>
    </w:p>
    <w:p w14:paraId="07F5E801" w14:textId="2DB7B6F2" w:rsidR="00330414" w:rsidRPr="005453BB" w:rsidRDefault="00323DAB" w:rsidP="00330414">
      <w:pPr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  <w:t>No</w:t>
      </w:r>
      <w:r w:rsidR="00330414" w:rsidRPr="009542AA"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  <w:t>,</w:t>
      </w:r>
      <w:r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non potrai. P</w:t>
      </w:r>
      <w:r w:rsidR="00330414" w:rsidRPr="009542AA"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  <w:t>er poter svolgere la funzione di tutor è necessaria l’esperienza di almeno un</w:t>
      </w:r>
      <w:r w:rsidR="00330414"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anno presso il reparto, area o setting presso il quale si presta servizio.</w:t>
      </w:r>
    </w:p>
    <w:p w14:paraId="7FD21240" w14:textId="77777777" w:rsidR="00330414" w:rsidRDefault="00330414" w:rsidP="00330414">
      <w:pPr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5453BB"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  <w:t> </w:t>
      </w:r>
    </w:p>
    <w:p w14:paraId="391321AE" w14:textId="77777777" w:rsidR="00330414" w:rsidRPr="005453BB" w:rsidRDefault="00330414" w:rsidP="00330414">
      <w:pPr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43720E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Se provengo con un trasferimento da un’altra azienda sanitaria, da un reparto analogo a quello in cui svolgo attualmente servizio, posso immediatamente svolgere la funzione di tutor?</w:t>
      </w:r>
    </w:p>
    <w:p w14:paraId="2DFFD093" w14:textId="77777777" w:rsidR="00330414" w:rsidRDefault="00330414" w:rsidP="00330414">
      <w:pPr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  <w:t>Sì, provenendo da reparto analogo a quello in cui si presta attualmente servizio, viene considerata anche l’esperienza acquisita presso altre aziende sanitarie. Rimane vincolante la frequenza al corso di formazione dedicato ai tutor.</w:t>
      </w:r>
    </w:p>
    <w:p w14:paraId="49F1725D" w14:textId="77777777" w:rsidR="00330414" w:rsidRPr="005453BB" w:rsidRDefault="00330414" w:rsidP="00330414">
      <w:pPr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4EBD4741" w14:textId="77777777" w:rsidR="00330414" w:rsidRPr="00E92524" w:rsidRDefault="00330414" w:rsidP="00330414">
      <w:pPr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E92524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Un titolo di master clinico nella specialità presso la quale si presta servizio ha un valore in termini di esperienza?</w:t>
      </w:r>
    </w:p>
    <w:p w14:paraId="4E6370EA" w14:textId="77777777" w:rsidR="00330414" w:rsidRDefault="00330414" w:rsidP="00330414">
      <w:pPr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  <w:t>Sì, un master di primo o secondo livello nella specialità presso la quale si presta servizio attribuisce al tutor un valore pari all’esperienza di un anno.</w:t>
      </w:r>
    </w:p>
    <w:p w14:paraId="57EF94DA" w14:textId="77777777" w:rsidR="00330414" w:rsidRDefault="00330414" w:rsidP="00330414">
      <w:pPr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1D2E52DA" w14:textId="77777777" w:rsidR="00330414" w:rsidRPr="005453BB" w:rsidRDefault="00330414" w:rsidP="00330414">
      <w:pPr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43720E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Se provengo con un trasferimento da un’altra azienda sanitaria,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dove svolgevo la funzione di tutor di simulazione</w:t>
      </w:r>
      <w:r w:rsidRPr="0043720E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, posso immediatamente svolgere la funzione di tutor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 di simulazione presso l’azienda dove svolgo attualmente servizio</w:t>
      </w:r>
      <w:r w:rsidRPr="0043720E"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?</w:t>
      </w:r>
    </w:p>
    <w:p w14:paraId="152D3F01" w14:textId="77777777" w:rsidR="00330414" w:rsidRPr="005453BB" w:rsidRDefault="00330414" w:rsidP="00330414">
      <w:pPr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5453BB"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  <w:t> </w:t>
      </w:r>
    </w:p>
    <w:p w14:paraId="03D6B99F" w14:textId="77777777" w:rsidR="00330414" w:rsidRDefault="00330414" w:rsidP="00330414">
      <w:pPr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  <w:t>Sì, provenendo da un’azienda sanitaria presso la quale si svolgeva la funzione di tutor di simulazione, è possibile svolgere immediatamente la funzione di tutor di simulazione presso l’azienda dove si presta servizio attualmente.</w:t>
      </w:r>
    </w:p>
    <w:p w14:paraId="5F9BBB56" w14:textId="77777777" w:rsidR="00330414" w:rsidRPr="005453BB" w:rsidRDefault="00330414" w:rsidP="00330414">
      <w:pPr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5453BB"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  <w:t> </w:t>
      </w:r>
    </w:p>
    <w:p w14:paraId="746EC362" w14:textId="77777777" w:rsidR="00330414" w:rsidRDefault="00330414" w:rsidP="00330414"/>
    <w:p w14:paraId="01F49C60" w14:textId="77777777" w:rsidR="009475AE" w:rsidRDefault="009475AE"/>
    <w:sectPr w:rsidR="00947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66"/>
    <w:rsid w:val="001050B2"/>
    <w:rsid w:val="001F7E66"/>
    <w:rsid w:val="00323DAB"/>
    <w:rsid w:val="00330414"/>
    <w:rsid w:val="005A051A"/>
    <w:rsid w:val="009475AE"/>
    <w:rsid w:val="0095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9702"/>
  <w15:chartTrackingRefBased/>
  <w15:docId w15:val="{148FE94F-B278-4B6B-AF71-0381031E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414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F68F3F7EF78B469CD7BA266FA8821A" ma:contentTypeVersion="18" ma:contentTypeDescription="Creare un nuovo documento." ma:contentTypeScope="" ma:versionID="81c164d4e3fc54070f0f4229d033e083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2923832faa6163d01b9df2d03eb08bc9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45A0F-EF98-4CAA-ACB5-E9FD3A704567}">
  <ds:schemaRefs>
    <ds:schemaRef ds:uri="http://schemas.microsoft.com/office/2006/metadata/properties"/>
    <ds:schemaRef ds:uri="http://schemas.microsoft.com/office/infopath/2007/PartnerControls"/>
    <ds:schemaRef ds:uri="42c51846-f97e-4ee9-8da2-623f779ae133"/>
    <ds:schemaRef ds:uri="9c40f042-6e2b-4dd6-add5-1c36612ec312"/>
  </ds:schemaRefs>
</ds:datastoreItem>
</file>

<file path=customXml/itemProps2.xml><?xml version="1.0" encoding="utf-8"?>
<ds:datastoreItem xmlns:ds="http://schemas.openxmlformats.org/officeDocument/2006/customXml" ds:itemID="{B9C81310-67E8-49AC-BE69-B68BB1B7D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E29A4-58B9-481D-87DB-FC998AC44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0f042-6e2b-4dd6-add5-1c36612ec312"/>
    <ds:schemaRef ds:uri="42c51846-f97e-4ee9-8da2-623f779ae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Robessi</dc:creator>
  <cp:keywords/>
  <dc:description/>
  <cp:lastModifiedBy>Angeliki Robessi</cp:lastModifiedBy>
  <cp:revision>2</cp:revision>
  <dcterms:created xsi:type="dcterms:W3CDTF">2024-08-06T14:20:00Z</dcterms:created>
  <dcterms:modified xsi:type="dcterms:W3CDTF">2024-08-06T14:20:00Z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</Properties>
</file>